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5A26" w14:textId="3AEE5AC8" w:rsidR="002C254D" w:rsidRDefault="002C254D" w:rsidP="00E915D6">
      <w:pPr>
        <w:spacing w:after="0" w:line="240" w:lineRule="auto"/>
        <w:jc w:val="center"/>
        <w:rPr>
          <w:rFonts w:ascii="Arial" w:hAnsi="Arial" w:cs="Arial"/>
          <w:b/>
          <w:sz w:val="32"/>
          <w:lang w:val="en-MY"/>
        </w:rPr>
      </w:pPr>
      <w:r w:rsidRPr="00E4216E">
        <w:rPr>
          <w:rFonts w:ascii="Arial" w:hAnsi="Arial" w:cs="Arial"/>
          <w:lang w:val="en-MY" w:eastAsia="en-MY"/>
        </w:rPr>
        <w:drawing>
          <wp:anchor distT="0" distB="0" distL="114300" distR="114300" simplePos="0" relativeHeight="251660288" behindDoc="0" locked="0" layoutInCell="1" allowOverlap="1" wp14:anchorId="00C69612" wp14:editId="0ADB78F2">
            <wp:simplePos x="0" y="0"/>
            <wp:positionH relativeFrom="column">
              <wp:posOffset>5654040</wp:posOffset>
            </wp:positionH>
            <wp:positionV relativeFrom="paragraph">
              <wp:posOffset>-10160</wp:posOffset>
            </wp:positionV>
            <wp:extent cx="997600" cy="1091821"/>
            <wp:effectExtent l="0" t="0" r="0" b="0"/>
            <wp:wrapNone/>
            <wp:docPr id="1177006852" name="Picture 1177006852" descr="A logo with black letters and orang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06852" name="Picture 1177006852" descr="A logo with black letters and orange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00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977A9" w14:textId="7305D213" w:rsidR="00E915D6" w:rsidRPr="00E4216E" w:rsidRDefault="00E915D6" w:rsidP="00E915D6">
      <w:pPr>
        <w:spacing w:after="0" w:line="240" w:lineRule="auto"/>
        <w:jc w:val="center"/>
        <w:rPr>
          <w:rFonts w:ascii="Arial" w:hAnsi="Arial" w:cs="Arial"/>
          <w:b/>
          <w:sz w:val="32"/>
          <w:lang w:val="en-MY"/>
        </w:rPr>
      </w:pPr>
      <w:r w:rsidRPr="00E4216E">
        <w:rPr>
          <w:rFonts w:ascii="Arial" w:hAnsi="Arial" w:cs="Arial"/>
          <w:b/>
          <w:sz w:val="32"/>
          <w:lang w:val="en-MY"/>
        </w:rPr>
        <w:t xml:space="preserve">REQUEST FOR </w:t>
      </w:r>
      <w:r w:rsidR="00295104">
        <w:rPr>
          <w:rFonts w:ascii="Arial" w:hAnsi="Arial" w:cs="Arial"/>
          <w:b/>
          <w:sz w:val="32"/>
          <w:lang w:val="en-MY"/>
        </w:rPr>
        <w:t>QUOTATION</w:t>
      </w:r>
      <w:r w:rsidR="000E0E1A" w:rsidRPr="00E4216E">
        <w:rPr>
          <w:rFonts w:ascii="Arial" w:hAnsi="Arial" w:cs="Arial"/>
          <w:b/>
          <w:sz w:val="32"/>
          <w:lang w:val="en-MY"/>
        </w:rPr>
        <w:t xml:space="preserve"> </w:t>
      </w:r>
      <w:r w:rsidRPr="00E4216E">
        <w:rPr>
          <w:rFonts w:ascii="Arial" w:hAnsi="Arial" w:cs="Arial"/>
          <w:b/>
          <w:sz w:val="32"/>
          <w:lang w:val="en-MY"/>
        </w:rPr>
        <w:t>(RF</w:t>
      </w:r>
      <w:r w:rsidR="00295104">
        <w:rPr>
          <w:rFonts w:ascii="Arial" w:hAnsi="Arial" w:cs="Arial"/>
          <w:b/>
          <w:sz w:val="32"/>
          <w:lang w:val="en-MY"/>
        </w:rPr>
        <w:t>Q</w:t>
      </w:r>
      <w:r w:rsidR="001B1D71">
        <w:rPr>
          <w:rFonts w:ascii="Arial" w:hAnsi="Arial" w:cs="Arial"/>
          <w:b/>
          <w:sz w:val="32"/>
          <w:lang w:val="en-MY"/>
        </w:rPr>
        <w:t>)</w:t>
      </w:r>
      <w:r w:rsidR="002C254D" w:rsidRPr="002C254D">
        <w:rPr>
          <w:rFonts w:ascii="Arial" w:hAnsi="Arial" w:cs="Arial"/>
          <w:lang w:val="en-MY" w:eastAsia="en-MY"/>
        </w:rPr>
        <w:t xml:space="preserve"> </w:t>
      </w:r>
    </w:p>
    <w:p w14:paraId="537A9611" w14:textId="7675931B" w:rsidR="00A76382" w:rsidRPr="00E4216E" w:rsidRDefault="000E0E1A" w:rsidP="00E915D6">
      <w:pPr>
        <w:spacing w:after="0" w:line="240" w:lineRule="auto"/>
        <w:jc w:val="center"/>
        <w:rPr>
          <w:rFonts w:ascii="Arial" w:hAnsi="Arial" w:cs="Arial"/>
          <w:b/>
          <w:sz w:val="32"/>
          <w:lang w:val="en-MY"/>
        </w:rPr>
      </w:pPr>
      <w:r w:rsidRPr="00E4216E">
        <w:rPr>
          <w:rFonts w:ascii="Arial" w:hAnsi="Arial" w:cs="Arial"/>
          <w:b/>
          <w:sz w:val="32"/>
          <w:lang w:val="en-MY"/>
        </w:rPr>
        <w:t>NOTICE</w:t>
      </w:r>
    </w:p>
    <w:p w14:paraId="20DBEE82" w14:textId="77777777" w:rsidR="000E0E1A" w:rsidRPr="00E4216E" w:rsidRDefault="000E0E1A" w:rsidP="00DD18E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3059AD05" w14:textId="77777777" w:rsidR="000E0E1A" w:rsidRDefault="000E0E1A" w:rsidP="00DD18E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3FE89731" w14:textId="77777777" w:rsidR="002C254D" w:rsidRPr="00E4216E" w:rsidRDefault="002C254D" w:rsidP="00DD18E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7B4F70B4" w14:textId="561FCAD4" w:rsidR="000E0E1A" w:rsidRPr="00E4216E" w:rsidRDefault="000E0E1A" w:rsidP="00DD18E8">
      <w:pPr>
        <w:spacing w:after="0" w:line="240" w:lineRule="auto"/>
        <w:jc w:val="both"/>
        <w:rPr>
          <w:rFonts w:ascii="Arial" w:hAnsi="Arial" w:cs="Arial"/>
          <w:b/>
          <w:lang w:val="en-MY"/>
        </w:rPr>
      </w:pPr>
      <w:r w:rsidRPr="00E4216E">
        <w:rPr>
          <w:rFonts w:ascii="Arial" w:hAnsi="Arial" w:cs="Arial"/>
          <w:lang w:val="en-MY"/>
        </w:rPr>
        <w:t>PDC Telecommunication Services Sdn Bhd (PDCTelco) is a subsidiary of Penang Development Corporation (PDC). PDCTelco is one of the companies providing telecommunication infrastructure services to telecommunication service providers in Penang.</w:t>
      </w:r>
      <w:r w:rsidR="00DD18E8" w:rsidRPr="00E4216E">
        <w:rPr>
          <w:rFonts w:ascii="Arial" w:hAnsi="Arial" w:cs="Arial"/>
          <w:lang w:val="en-MY"/>
        </w:rPr>
        <w:t xml:space="preserve"> PDCTelco will hold a </w:t>
      </w:r>
      <w:r w:rsidR="007D4455">
        <w:rPr>
          <w:rFonts w:ascii="Arial" w:hAnsi="Arial" w:cs="Arial"/>
          <w:lang w:val="en-MY"/>
        </w:rPr>
        <w:t>quotation</w:t>
      </w:r>
      <w:r w:rsidR="00DD18E8" w:rsidRPr="00E4216E">
        <w:rPr>
          <w:rFonts w:ascii="Arial" w:hAnsi="Arial" w:cs="Arial"/>
          <w:lang w:val="en-MY"/>
        </w:rPr>
        <w:t xml:space="preserve"> for</w:t>
      </w:r>
      <w:r w:rsidR="000050AD" w:rsidRPr="00E4216E">
        <w:rPr>
          <w:rFonts w:ascii="Arial" w:hAnsi="Arial" w:cs="Arial"/>
          <w:lang w:val="en-MY"/>
        </w:rPr>
        <w:t xml:space="preserve"> the following works</w:t>
      </w:r>
      <w:r w:rsidR="00DD18E8" w:rsidRPr="00E4216E">
        <w:rPr>
          <w:rFonts w:ascii="Arial" w:hAnsi="Arial" w:cs="Arial"/>
          <w:lang w:val="en-MY"/>
        </w:rPr>
        <w:t>:</w:t>
      </w:r>
    </w:p>
    <w:p w14:paraId="69C7B346" w14:textId="77777777" w:rsidR="00295692" w:rsidRPr="00E4216E" w:rsidRDefault="00295692" w:rsidP="00DD18E8">
      <w:pPr>
        <w:spacing w:after="0" w:line="240" w:lineRule="auto"/>
        <w:jc w:val="center"/>
        <w:rPr>
          <w:rFonts w:ascii="Arial" w:hAnsi="Arial" w:cs="Arial"/>
          <w:b/>
          <w:lang w:val="en-MY"/>
        </w:rPr>
      </w:pPr>
    </w:p>
    <w:p w14:paraId="6F0CD99F" w14:textId="66C49951" w:rsidR="00DD18E8" w:rsidRPr="00E4216E" w:rsidRDefault="00DD18E8" w:rsidP="00DD18E8">
      <w:pPr>
        <w:spacing w:after="0" w:line="240" w:lineRule="auto"/>
        <w:jc w:val="center"/>
        <w:rPr>
          <w:rFonts w:ascii="Arial" w:hAnsi="Arial" w:cs="Arial"/>
          <w:b/>
          <w:lang w:val="en-MY"/>
        </w:rPr>
      </w:pPr>
      <w:r w:rsidRPr="00E4216E">
        <w:rPr>
          <w:rFonts w:ascii="Arial" w:hAnsi="Arial" w:cs="Arial"/>
          <w:b/>
          <w:lang w:val="en-MY"/>
        </w:rPr>
        <w:t xml:space="preserve">NO.: </w:t>
      </w:r>
      <w:r w:rsidR="00E915D6" w:rsidRPr="00E4216E">
        <w:rPr>
          <w:rFonts w:ascii="Arial" w:hAnsi="Arial" w:cs="Arial"/>
          <w:b/>
          <w:lang w:val="en-MY"/>
        </w:rPr>
        <w:t>PDCTELCO/</w:t>
      </w:r>
      <w:r w:rsidR="00295104">
        <w:rPr>
          <w:rFonts w:ascii="Arial" w:hAnsi="Arial" w:cs="Arial"/>
          <w:b/>
          <w:lang w:val="en-MY"/>
        </w:rPr>
        <w:t>Q</w:t>
      </w:r>
      <w:r w:rsidR="00E915D6" w:rsidRPr="00E4216E">
        <w:rPr>
          <w:rFonts w:ascii="Arial" w:hAnsi="Arial" w:cs="Arial"/>
          <w:b/>
          <w:lang w:val="en-MY"/>
        </w:rPr>
        <w:t>_ND/00</w:t>
      </w:r>
      <w:r w:rsidR="00295104">
        <w:rPr>
          <w:rFonts w:ascii="Arial" w:hAnsi="Arial" w:cs="Arial"/>
          <w:b/>
          <w:lang w:val="en-MY"/>
        </w:rPr>
        <w:t>7</w:t>
      </w:r>
      <w:r w:rsidR="00E915D6" w:rsidRPr="00E4216E">
        <w:rPr>
          <w:rFonts w:ascii="Arial" w:hAnsi="Arial" w:cs="Arial"/>
          <w:b/>
          <w:lang w:val="en-MY"/>
        </w:rPr>
        <w:t>/202</w:t>
      </w:r>
      <w:r w:rsidR="00BE4BF7">
        <w:rPr>
          <w:rFonts w:ascii="Arial" w:hAnsi="Arial" w:cs="Arial"/>
          <w:b/>
          <w:lang w:val="en-MY"/>
        </w:rPr>
        <w:t>5</w:t>
      </w:r>
    </w:p>
    <w:p w14:paraId="3BDDE82D" w14:textId="77777777" w:rsidR="00E915D6" w:rsidRPr="00E4216E" w:rsidRDefault="00E915D6" w:rsidP="00DD18E8">
      <w:pPr>
        <w:spacing w:after="0" w:line="240" w:lineRule="auto"/>
        <w:jc w:val="center"/>
        <w:rPr>
          <w:rFonts w:ascii="Arial" w:hAnsi="Arial" w:cs="Arial"/>
          <w:b/>
          <w:lang w:val="en-MY"/>
        </w:rPr>
      </w:pPr>
    </w:p>
    <w:p w14:paraId="5B05939C" w14:textId="64D1A050" w:rsidR="000E0E1A" w:rsidRPr="00E4216E" w:rsidRDefault="00295104" w:rsidP="00C07B91">
      <w:pPr>
        <w:spacing w:after="0" w:line="240" w:lineRule="auto"/>
        <w:jc w:val="center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b/>
          <w:lang w:val="en-MY"/>
        </w:rPr>
        <w:t>QUOTATION FOR SUPPLY, INSTALLATION, COMMISSIONING AND MAINTENANCE OF SYSTEM SERVER AT SUNTECH</w:t>
      </w:r>
    </w:p>
    <w:p w14:paraId="6127C411" w14:textId="77777777" w:rsidR="00984C7D" w:rsidRDefault="00984C7D" w:rsidP="009049B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1BAD3AFC" w14:textId="5D43F057" w:rsidR="00984C7D" w:rsidRDefault="00984C7D" w:rsidP="009049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MY"/>
        </w:rPr>
        <w:t xml:space="preserve">PDC Telecommunication Services Sdn Bhd (PDC Telco) </w:t>
      </w:r>
      <w:r w:rsidR="00295104" w:rsidRPr="00295104">
        <w:rPr>
          <w:rFonts w:ascii="Arial" w:hAnsi="Arial" w:cs="Arial"/>
        </w:rPr>
        <w:t>invites qualified and experienced software development and system integration companies to submit quotations for supply, installation, and commissioning of the required server and network infrastructure at Suntech</w:t>
      </w:r>
      <w:r w:rsidRPr="00984C7D">
        <w:rPr>
          <w:rFonts w:ascii="Arial" w:hAnsi="Arial" w:cs="Arial"/>
        </w:rPr>
        <w:t>. The goal is to provide a streamlined and automated solution to support operational efficiencies, improve user experience, and ensure seamless integration with existing technologies</w:t>
      </w:r>
      <w:r>
        <w:rPr>
          <w:rFonts w:ascii="Arial" w:hAnsi="Arial" w:cs="Arial"/>
        </w:rPr>
        <w:t xml:space="preserve">. The requirement that staisfy the following criteria to submit </w:t>
      </w:r>
      <w:r w:rsidR="00295104">
        <w:rPr>
          <w:rFonts w:ascii="Arial" w:hAnsi="Arial" w:cs="Arial"/>
        </w:rPr>
        <w:t>quotation</w:t>
      </w:r>
      <w:r>
        <w:rPr>
          <w:rFonts w:ascii="Arial" w:hAnsi="Arial" w:cs="Arial"/>
        </w:rPr>
        <w:t xml:space="preserve">: </w:t>
      </w:r>
    </w:p>
    <w:p w14:paraId="3927A347" w14:textId="77777777" w:rsidR="00984C7D" w:rsidRDefault="00984C7D" w:rsidP="009049B8">
      <w:pPr>
        <w:spacing w:after="0" w:line="240" w:lineRule="auto"/>
        <w:jc w:val="both"/>
        <w:rPr>
          <w:rFonts w:ascii="Arial" w:hAnsi="Arial" w:cs="Arial"/>
        </w:rPr>
      </w:pPr>
    </w:p>
    <w:p w14:paraId="3BD892DC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>A minimum of 10 years of experience in software development and system integration.</w:t>
      </w:r>
    </w:p>
    <w:p w14:paraId="7E86DB02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 xml:space="preserve">Proven expertise in the development and maintenance of </w:t>
      </w:r>
      <w:r w:rsidRPr="009049B8">
        <w:rPr>
          <w:rFonts w:ascii="Arial" w:hAnsi="Arial" w:cs="Arial"/>
        </w:rPr>
        <w:t>Internet Service Providers</w:t>
      </w:r>
      <w:r>
        <w:rPr>
          <w:rFonts w:ascii="Arial" w:hAnsi="Arial" w:cs="Arial"/>
        </w:rPr>
        <w:t xml:space="preserve"> (ISP) </w:t>
      </w:r>
      <w:r w:rsidRPr="009049B8">
        <w:rPr>
          <w:rFonts w:ascii="Arial" w:hAnsi="Arial" w:cs="Arial"/>
          <w:lang w:val="en-MY"/>
        </w:rPr>
        <w:t>billing and subscriber management systems, as well as ISP network and server infrastructure.</w:t>
      </w:r>
    </w:p>
    <w:p w14:paraId="168CDACF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 xml:space="preserve">Demonstrated proficiency in configuring </w:t>
      </w:r>
      <w:r w:rsidRPr="00984C7D">
        <w:rPr>
          <w:rFonts w:ascii="Arial" w:hAnsi="Arial" w:cs="Arial"/>
        </w:rPr>
        <w:t>Border Gateway Protocol</w:t>
      </w:r>
      <w:r w:rsidRPr="00984C7D">
        <w:rPr>
          <w:rFonts w:ascii="Arial" w:hAnsi="Arial" w:cs="Arial"/>
          <w:lang w:val="en-MY"/>
        </w:rPr>
        <w:t xml:space="preserve"> </w:t>
      </w:r>
      <w:r>
        <w:rPr>
          <w:rFonts w:ascii="Arial" w:hAnsi="Arial" w:cs="Arial"/>
          <w:lang w:val="en-MY"/>
        </w:rPr>
        <w:t>(</w:t>
      </w:r>
      <w:r w:rsidRPr="009049B8">
        <w:rPr>
          <w:rFonts w:ascii="Arial" w:hAnsi="Arial" w:cs="Arial"/>
          <w:lang w:val="en-MY"/>
        </w:rPr>
        <w:t>BGP</w:t>
      </w:r>
      <w:r>
        <w:rPr>
          <w:rFonts w:ascii="Arial" w:hAnsi="Arial" w:cs="Arial"/>
          <w:lang w:val="en-MY"/>
        </w:rPr>
        <w:t>)</w:t>
      </w:r>
      <w:r w:rsidRPr="009049B8">
        <w:rPr>
          <w:rFonts w:ascii="Arial" w:hAnsi="Arial" w:cs="Arial"/>
          <w:lang w:val="en-MY"/>
        </w:rPr>
        <w:t xml:space="preserve"> routing, IP transit, and peering.</w:t>
      </w:r>
    </w:p>
    <w:p w14:paraId="34B2ED13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 xml:space="preserve">Experience in integrating software solutions with </w:t>
      </w:r>
      <w:r w:rsidRPr="00984C7D">
        <w:rPr>
          <w:rFonts w:ascii="Arial" w:hAnsi="Arial" w:cs="Arial"/>
        </w:rPr>
        <w:t>Remote Authentication Dial-In User Service</w:t>
      </w:r>
      <w:r w:rsidRPr="00984C7D">
        <w:rPr>
          <w:rFonts w:ascii="Arial" w:hAnsi="Arial" w:cs="Arial"/>
          <w:lang w:val="en-MY"/>
        </w:rPr>
        <w:t xml:space="preserve"> </w:t>
      </w:r>
      <w:r>
        <w:rPr>
          <w:rFonts w:ascii="Arial" w:hAnsi="Arial" w:cs="Arial"/>
          <w:lang w:val="en-MY"/>
        </w:rPr>
        <w:t>(</w:t>
      </w:r>
      <w:r w:rsidRPr="009049B8">
        <w:rPr>
          <w:rFonts w:ascii="Arial" w:hAnsi="Arial" w:cs="Arial"/>
          <w:lang w:val="en-MY"/>
        </w:rPr>
        <w:t>Radius</w:t>
      </w:r>
      <w:r>
        <w:rPr>
          <w:rFonts w:ascii="Arial" w:hAnsi="Arial" w:cs="Arial"/>
          <w:lang w:val="en-MY"/>
        </w:rPr>
        <w:t>)</w:t>
      </w:r>
      <w:r w:rsidRPr="009049B8">
        <w:rPr>
          <w:rFonts w:ascii="Arial" w:hAnsi="Arial" w:cs="Arial"/>
          <w:lang w:val="en-MY"/>
        </w:rPr>
        <w:t xml:space="preserve"> servers and </w:t>
      </w:r>
      <w:r w:rsidRPr="00984C7D">
        <w:rPr>
          <w:rFonts w:ascii="Arial" w:hAnsi="Arial" w:cs="Arial"/>
        </w:rPr>
        <w:t>Point-to-Point Protocol over Ethernet</w:t>
      </w:r>
      <w:r w:rsidRPr="00984C7D">
        <w:rPr>
          <w:rFonts w:ascii="Arial" w:hAnsi="Arial" w:cs="Arial"/>
          <w:lang w:val="en-MY"/>
        </w:rPr>
        <w:t xml:space="preserve"> </w:t>
      </w:r>
      <w:r>
        <w:rPr>
          <w:rFonts w:ascii="Arial" w:hAnsi="Arial" w:cs="Arial"/>
          <w:lang w:val="en-MY"/>
        </w:rPr>
        <w:t>(</w:t>
      </w:r>
      <w:r w:rsidRPr="009049B8">
        <w:rPr>
          <w:rFonts w:ascii="Arial" w:hAnsi="Arial" w:cs="Arial"/>
          <w:lang w:val="en-MY"/>
        </w:rPr>
        <w:t>PPPoE</w:t>
      </w:r>
      <w:r>
        <w:rPr>
          <w:rFonts w:ascii="Arial" w:hAnsi="Arial" w:cs="Arial"/>
          <w:lang w:val="en-MY"/>
        </w:rPr>
        <w:t>)</w:t>
      </w:r>
      <w:r w:rsidRPr="009049B8">
        <w:rPr>
          <w:rFonts w:ascii="Arial" w:hAnsi="Arial" w:cs="Arial"/>
          <w:lang w:val="en-MY"/>
        </w:rPr>
        <w:t xml:space="preserve"> servers.</w:t>
      </w:r>
    </w:p>
    <w:p w14:paraId="4F3DBC61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 xml:space="preserve">Strong experience in developing high-traffic, high-performance Online Transaction Processing </w:t>
      </w:r>
      <w:r>
        <w:rPr>
          <w:rFonts w:ascii="Arial" w:hAnsi="Arial" w:cs="Arial"/>
          <w:lang w:val="en-MY"/>
        </w:rPr>
        <w:t>(</w:t>
      </w:r>
      <w:r w:rsidRPr="009049B8">
        <w:rPr>
          <w:rFonts w:ascii="Arial" w:hAnsi="Arial" w:cs="Arial"/>
          <w:lang w:val="en-MY"/>
        </w:rPr>
        <w:t>OLTP</w:t>
      </w:r>
      <w:r>
        <w:rPr>
          <w:rFonts w:ascii="Arial" w:hAnsi="Arial" w:cs="Arial"/>
          <w:lang w:val="en-MY"/>
        </w:rPr>
        <w:t>)</w:t>
      </w:r>
      <w:r w:rsidRPr="009049B8">
        <w:rPr>
          <w:rFonts w:ascii="Arial" w:hAnsi="Arial" w:cs="Arial"/>
          <w:lang w:val="en-MY"/>
        </w:rPr>
        <w:t xml:space="preserve"> database applications.</w:t>
      </w:r>
    </w:p>
    <w:p w14:paraId="0E70C436" w14:textId="77777777" w:rsidR="00984C7D" w:rsidRPr="009049B8" w:rsidRDefault="00984C7D" w:rsidP="00984C7D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val="en-MY"/>
        </w:rPr>
      </w:pPr>
      <w:r w:rsidRPr="009049B8">
        <w:rPr>
          <w:rFonts w:ascii="Arial" w:hAnsi="Arial" w:cs="Arial"/>
          <w:lang w:val="en-MY"/>
        </w:rPr>
        <w:t>Expertise in designing and implementing secure, fail-safe infrastructure solutions, particularly for high-risk environments</w:t>
      </w:r>
      <w:r>
        <w:rPr>
          <w:rFonts w:ascii="Arial" w:hAnsi="Arial" w:cs="Arial"/>
          <w:lang w:val="en-MY"/>
        </w:rPr>
        <w:t>.</w:t>
      </w:r>
    </w:p>
    <w:p w14:paraId="2F330237" w14:textId="77777777" w:rsidR="00984C7D" w:rsidRDefault="00984C7D" w:rsidP="003774A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MY"/>
        </w:rPr>
      </w:pPr>
    </w:p>
    <w:p w14:paraId="553D86C0" w14:textId="77777777" w:rsidR="00B61FF9" w:rsidRDefault="00B61FF9" w:rsidP="00984C7D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6C12EF81" w14:textId="19F9C5E5" w:rsidR="00984C7D" w:rsidRPr="00984C7D" w:rsidRDefault="00295104" w:rsidP="00984C7D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MY"/>
        </w:rPr>
      </w:pPr>
      <w:r>
        <w:rPr>
          <w:rFonts w:ascii="Arial" w:hAnsi="Arial" w:cs="Arial"/>
          <w:b/>
          <w:bCs/>
          <w:u w:val="single"/>
          <w:lang w:val="en-MY"/>
        </w:rPr>
        <w:t>SCOPE OF WORK</w:t>
      </w:r>
    </w:p>
    <w:p w14:paraId="67CB70C9" w14:textId="77777777" w:rsidR="00984C7D" w:rsidRDefault="00984C7D" w:rsidP="00984C7D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12B2A91C" w14:textId="6D480EE3" w:rsidR="00295104" w:rsidRPr="00295104" w:rsidRDefault="00295104" w:rsidP="00295104">
      <w:pPr>
        <w:pStyle w:val="ListParagraph"/>
        <w:numPr>
          <w:ilvl w:val="0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 xml:space="preserve">Install, setup and deploy </w:t>
      </w:r>
      <w:r w:rsidRPr="00295104">
        <w:rPr>
          <w:rFonts w:ascii="Arial" w:hAnsi="Arial" w:cs="Arial"/>
          <w:lang w:val="en-MY"/>
        </w:rPr>
        <w:t>of the Subscriber Management and Billing System</w:t>
      </w:r>
    </w:p>
    <w:p w14:paraId="21BF4C89" w14:textId="77777777" w:rsidR="00295104" w:rsidRPr="00295104" w:rsidRDefault="00295104" w:rsidP="00295104">
      <w:pPr>
        <w:pStyle w:val="ListParagraph"/>
        <w:numPr>
          <w:ilvl w:val="0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Setup and deployment of core infrastructure including:</w:t>
      </w:r>
    </w:p>
    <w:p w14:paraId="42E7DFF0" w14:textId="77777777" w:rsidR="00295104" w:rsidRPr="00295104" w:rsidRDefault="00295104" w:rsidP="00295104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</w:p>
    <w:p w14:paraId="03E10DFA" w14:textId="77777777" w:rsidR="00295104" w:rsidRDefault="00295104" w:rsidP="00295104">
      <w:pPr>
        <w:pStyle w:val="ListParagraph"/>
        <w:numPr>
          <w:ilvl w:val="1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Proxmox Hypervisor Host Server</w:t>
      </w:r>
    </w:p>
    <w:p w14:paraId="212F6A93" w14:textId="77777777" w:rsidR="00295104" w:rsidRDefault="00295104" w:rsidP="00295104">
      <w:pPr>
        <w:pStyle w:val="ListParagraph"/>
        <w:numPr>
          <w:ilvl w:val="1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Virtual Machines for database, monitoring, RADIUS, SpeedTest, backup, and application services</w:t>
      </w:r>
    </w:p>
    <w:p w14:paraId="664F3CAB" w14:textId="77777777" w:rsidR="00295104" w:rsidRDefault="00295104" w:rsidP="00295104">
      <w:pPr>
        <w:pStyle w:val="ListParagraph"/>
        <w:numPr>
          <w:ilvl w:val="1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Firewall, network switches, patch panels, and structured cabling</w:t>
      </w:r>
    </w:p>
    <w:p w14:paraId="2B5456C3" w14:textId="041D92F9" w:rsidR="00295104" w:rsidRDefault="00295104" w:rsidP="00295104">
      <w:pPr>
        <w:pStyle w:val="ListParagraph"/>
        <w:numPr>
          <w:ilvl w:val="1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Real-time database replication and file synchronizatio</w:t>
      </w:r>
      <w:r>
        <w:rPr>
          <w:rFonts w:ascii="Arial" w:hAnsi="Arial" w:cs="Arial"/>
          <w:lang w:val="en-MY"/>
        </w:rPr>
        <w:t>n</w:t>
      </w:r>
    </w:p>
    <w:p w14:paraId="7D461DFD" w14:textId="705FEEAD" w:rsidR="00295104" w:rsidRPr="00295104" w:rsidRDefault="00295104" w:rsidP="00295104">
      <w:pPr>
        <w:pStyle w:val="ListParagraph"/>
        <w:numPr>
          <w:ilvl w:val="1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System monitoring, alerting, and automated backup configuration</w:t>
      </w:r>
    </w:p>
    <w:p w14:paraId="05F96421" w14:textId="77777777" w:rsidR="00295104" w:rsidRPr="00295104" w:rsidRDefault="00295104" w:rsidP="00295104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</w:p>
    <w:p w14:paraId="4B830B26" w14:textId="77777777" w:rsidR="00295104" w:rsidRPr="00295104" w:rsidRDefault="00295104" w:rsidP="00295104">
      <w:pPr>
        <w:pStyle w:val="ListParagraph"/>
        <w:numPr>
          <w:ilvl w:val="0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Comprehensive implementation and commissioning services</w:t>
      </w:r>
    </w:p>
    <w:p w14:paraId="3F2828AE" w14:textId="6D89E480" w:rsidR="00984C7D" w:rsidRPr="00295104" w:rsidRDefault="00295104" w:rsidP="00295104">
      <w:pPr>
        <w:pStyle w:val="ListParagraph"/>
        <w:numPr>
          <w:ilvl w:val="0"/>
          <w:numId w:val="24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One-year maintenance for both software and server infrastructure</w:t>
      </w:r>
    </w:p>
    <w:p w14:paraId="60ACF3FE" w14:textId="77777777" w:rsidR="002C254D" w:rsidRPr="00E4216E" w:rsidRDefault="002C254D" w:rsidP="00295104">
      <w:pPr>
        <w:pBdr>
          <w:bottom w:val="single" w:sz="4" w:space="1" w:color="auto"/>
        </w:pBdr>
        <w:tabs>
          <w:tab w:val="left" w:pos="3735"/>
        </w:tabs>
        <w:spacing w:after="0" w:line="240" w:lineRule="auto"/>
        <w:jc w:val="both"/>
        <w:rPr>
          <w:rFonts w:ascii="Arial" w:hAnsi="Arial" w:cs="Arial"/>
          <w:lang w:val="en-MY"/>
        </w:rPr>
      </w:pPr>
    </w:p>
    <w:p w14:paraId="3D55B40E" w14:textId="77777777" w:rsidR="00B61FF9" w:rsidRDefault="00B61FF9" w:rsidP="002C254D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</w:p>
    <w:p w14:paraId="5C940CCB" w14:textId="77777777" w:rsidR="00295104" w:rsidRDefault="00295104" w:rsidP="002C254D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</w:p>
    <w:p w14:paraId="57DF4167" w14:textId="77777777" w:rsidR="00295104" w:rsidRDefault="00295104" w:rsidP="002C254D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</w:p>
    <w:p w14:paraId="7A995FB1" w14:textId="77777777" w:rsidR="00295104" w:rsidRDefault="00295104" w:rsidP="002C254D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</w:p>
    <w:p w14:paraId="35A66356" w14:textId="77777777" w:rsidR="00295104" w:rsidRDefault="00295104" w:rsidP="002C254D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</w:p>
    <w:p w14:paraId="16D027A8" w14:textId="789D6308" w:rsidR="00295104" w:rsidRPr="00295104" w:rsidRDefault="002E455B" w:rsidP="00295104">
      <w:pPr>
        <w:spacing w:after="0" w:line="36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  <w:r>
        <w:rPr>
          <w:rFonts w:ascii="Arial" w:hAnsi="Arial" w:cs="Arial"/>
          <w:b/>
          <w:bCs/>
          <w:u w:val="single"/>
          <w:lang w:val="en-MY"/>
        </w:rPr>
        <w:lastRenderedPageBreak/>
        <w:t>QUOTATION</w:t>
      </w:r>
      <w:r w:rsidR="00295104" w:rsidRPr="00295104">
        <w:rPr>
          <w:rFonts w:ascii="Arial" w:hAnsi="Arial" w:cs="Arial"/>
          <w:b/>
          <w:bCs/>
          <w:u w:val="single"/>
          <w:lang w:val="en-MY"/>
        </w:rPr>
        <w:t xml:space="preserve"> REQUIREMENTS:</w:t>
      </w:r>
    </w:p>
    <w:p w14:paraId="4A8E17DF" w14:textId="77777777" w:rsidR="00295104" w:rsidRPr="00295104" w:rsidRDefault="00295104" w:rsidP="00295104">
      <w:p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</w:p>
    <w:p w14:paraId="4836AD90" w14:textId="11201CA3" w:rsidR="00295104" w:rsidRDefault="00295104" w:rsidP="00295104">
      <w:pPr>
        <w:pStyle w:val="ListParagraph"/>
        <w:numPr>
          <w:ilvl w:val="0"/>
          <w:numId w:val="26"/>
        </w:num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 xml:space="preserve">Payment of RM50.00: A non-refundable payment of RM50.00 is required to participate in this </w:t>
      </w:r>
      <w:r>
        <w:rPr>
          <w:rFonts w:ascii="Arial" w:hAnsi="Arial" w:cs="Arial"/>
          <w:lang w:val="en-MY"/>
        </w:rPr>
        <w:t>quotation</w:t>
      </w:r>
      <w:r w:rsidRPr="00295104">
        <w:rPr>
          <w:rFonts w:ascii="Arial" w:hAnsi="Arial" w:cs="Arial"/>
          <w:lang w:val="en-MY"/>
        </w:rPr>
        <w:t>. Kindly ensure payment is made to the account provided below.</w:t>
      </w:r>
    </w:p>
    <w:p w14:paraId="27AED1B7" w14:textId="77777777" w:rsidR="00295104" w:rsidRDefault="00295104" w:rsidP="00295104">
      <w:pPr>
        <w:pStyle w:val="ListParagraph"/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</w:p>
    <w:p w14:paraId="4326B516" w14:textId="77777777" w:rsidR="00295104" w:rsidRPr="00295104" w:rsidRDefault="00295104" w:rsidP="00295104">
      <w:pPr>
        <w:pStyle w:val="ListParagraph"/>
        <w:spacing w:line="276" w:lineRule="auto"/>
        <w:ind w:right="-188"/>
        <w:rPr>
          <w:rFonts w:ascii="Arial" w:hAnsi="Arial" w:cs="Arial"/>
          <w:b/>
          <w:bCs/>
          <w:u w:val="single"/>
          <w:lang w:val="en-MY"/>
        </w:rPr>
      </w:pPr>
      <w:r w:rsidRPr="00295104">
        <w:rPr>
          <w:rFonts w:ascii="Arial" w:hAnsi="Arial" w:cs="Arial"/>
          <w:b/>
          <w:bCs/>
          <w:u w:val="single"/>
          <w:lang w:val="en-MY"/>
        </w:rPr>
        <w:t>Payment Details:</w:t>
      </w:r>
    </w:p>
    <w:p w14:paraId="3EFDE4BC" w14:textId="77777777" w:rsidR="00295104" w:rsidRPr="00295104" w:rsidRDefault="00295104" w:rsidP="00295104">
      <w:pPr>
        <w:pStyle w:val="ListParagraph"/>
        <w:spacing w:line="276" w:lineRule="auto"/>
        <w:ind w:right="-188"/>
        <w:rPr>
          <w:rFonts w:ascii="Arial" w:hAnsi="Arial" w:cs="Arial"/>
          <w:b/>
          <w:bCs/>
          <w:lang w:val="en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010"/>
        <w:gridCol w:w="6615"/>
      </w:tblGrid>
      <w:tr w:rsidR="00295104" w:rsidRPr="00295104" w14:paraId="3905E743" w14:textId="77777777" w:rsidTr="00295104">
        <w:tc>
          <w:tcPr>
            <w:tcW w:w="2972" w:type="dxa"/>
            <w:hideMark/>
          </w:tcPr>
          <w:p w14:paraId="2D3CCEAC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Account Name</w:t>
            </w:r>
          </w:p>
        </w:tc>
        <w:tc>
          <w:tcPr>
            <w:tcW w:w="284" w:type="dxa"/>
            <w:hideMark/>
          </w:tcPr>
          <w:p w14:paraId="10D1762D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:</w:t>
            </w:r>
          </w:p>
        </w:tc>
        <w:tc>
          <w:tcPr>
            <w:tcW w:w="7200" w:type="dxa"/>
            <w:hideMark/>
          </w:tcPr>
          <w:p w14:paraId="4EAF6015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lang w:val="en-MY"/>
              </w:rPr>
              <w:t>PDC Telecommunication Services Sdn Bhd</w:t>
            </w:r>
          </w:p>
        </w:tc>
      </w:tr>
      <w:tr w:rsidR="00295104" w:rsidRPr="00295104" w14:paraId="2760860B" w14:textId="77777777" w:rsidTr="00295104">
        <w:tc>
          <w:tcPr>
            <w:tcW w:w="2972" w:type="dxa"/>
            <w:hideMark/>
          </w:tcPr>
          <w:p w14:paraId="3285C2D1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Bank</w:t>
            </w:r>
          </w:p>
        </w:tc>
        <w:tc>
          <w:tcPr>
            <w:tcW w:w="284" w:type="dxa"/>
            <w:hideMark/>
          </w:tcPr>
          <w:p w14:paraId="508F9EB9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:</w:t>
            </w:r>
          </w:p>
        </w:tc>
        <w:tc>
          <w:tcPr>
            <w:tcW w:w="7200" w:type="dxa"/>
            <w:hideMark/>
          </w:tcPr>
          <w:p w14:paraId="30C8EE08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lang w:val="en-MY"/>
              </w:rPr>
            </w:pPr>
            <w:r w:rsidRPr="00295104">
              <w:rPr>
                <w:rFonts w:ascii="Arial" w:hAnsi="Arial" w:cs="Arial"/>
                <w:lang w:val="en-MY"/>
              </w:rPr>
              <w:t>CIMB</w:t>
            </w:r>
          </w:p>
        </w:tc>
      </w:tr>
      <w:tr w:rsidR="00295104" w:rsidRPr="00295104" w14:paraId="5DBEE9DE" w14:textId="77777777" w:rsidTr="00295104">
        <w:tc>
          <w:tcPr>
            <w:tcW w:w="2972" w:type="dxa"/>
            <w:hideMark/>
          </w:tcPr>
          <w:p w14:paraId="3D03255E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Account Number</w:t>
            </w:r>
          </w:p>
        </w:tc>
        <w:tc>
          <w:tcPr>
            <w:tcW w:w="284" w:type="dxa"/>
            <w:hideMark/>
          </w:tcPr>
          <w:p w14:paraId="3CBD6B07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:</w:t>
            </w:r>
          </w:p>
        </w:tc>
        <w:tc>
          <w:tcPr>
            <w:tcW w:w="7200" w:type="dxa"/>
            <w:hideMark/>
          </w:tcPr>
          <w:p w14:paraId="49BFCA41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lang w:val="en-MY"/>
              </w:rPr>
            </w:pPr>
            <w:r w:rsidRPr="00295104">
              <w:rPr>
                <w:rFonts w:ascii="Arial" w:hAnsi="Arial" w:cs="Arial"/>
                <w:lang w:val="en-MY"/>
              </w:rPr>
              <w:t>8009909427</w:t>
            </w:r>
          </w:p>
        </w:tc>
      </w:tr>
      <w:tr w:rsidR="00295104" w:rsidRPr="00295104" w14:paraId="656CB409" w14:textId="77777777" w:rsidTr="00295104">
        <w:tc>
          <w:tcPr>
            <w:tcW w:w="2972" w:type="dxa"/>
            <w:hideMark/>
          </w:tcPr>
          <w:p w14:paraId="001EC3B7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Payment Reference</w:t>
            </w:r>
          </w:p>
        </w:tc>
        <w:tc>
          <w:tcPr>
            <w:tcW w:w="284" w:type="dxa"/>
            <w:hideMark/>
          </w:tcPr>
          <w:p w14:paraId="374703B2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b/>
                <w:bCs/>
                <w:lang w:val="en-MY"/>
              </w:rPr>
            </w:pPr>
            <w:r w:rsidRPr="00295104">
              <w:rPr>
                <w:rFonts w:ascii="Arial" w:hAnsi="Arial" w:cs="Arial"/>
                <w:b/>
                <w:bCs/>
                <w:lang w:val="en-MY"/>
              </w:rPr>
              <w:t>:</w:t>
            </w:r>
          </w:p>
        </w:tc>
        <w:tc>
          <w:tcPr>
            <w:tcW w:w="7200" w:type="dxa"/>
            <w:hideMark/>
          </w:tcPr>
          <w:p w14:paraId="3A6590B1" w14:textId="77777777" w:rsidR="00295104" w:rsidRPr="00295104" w:rsidRDefault="00295104" w:rsidP="00295104">
            <w:pPr>
              <w:pStyle w:val="ListParagraph"/>
              <w:spacing w:line="276" w:lineRule="auto"/>
              <w:ind w:right="-188"/>
              <w:rPr>
                <w:rFonts w:ascii="Arial" w:hAnsi="Arial" w:cs="Arial"/>
                <w:lang w:val="en-MY"/>
              </w:rPr>
            </w:pPr>
            <w:r w:rsidRPr="00295104">
              <w:rPr>
                <w:rFonts w:ascii="Arial" w:hAnsi="Arial" w:cs="Arial"/>
                <w:lang w:val="en-MY"/>
              </w:rPr>
              <w:t>T0012025</w:t>
            </w:r>
          </w:p>
        </w:tc>
      </w:tr>
    </w:tbl>
    <w:p w14:paraId="74AD4833" w14:textId="77777777" w:rsidR="00295104" w:rsidRPr="00295104" w:rsidRDefault="00295104" w:rsidP="00295104">
      <w:p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</w:p>
    <w:p w14:paraId="36B7B308" w14:textId="41324F8D" w:rsidR="00295104" w:rsidRPr="00295104" w:rsidRDefault="00295104" w:rsidP="00295104">
      <w:pPr>
        <w:pStyle w:val="ListParagraph"/>
        <w:numPr>
          <w:ilvl w:val="0"/>
          <w:numId w:val="26"/>
        </w:num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  <w:r w:rsidRPr="00295104">
        <w:rPr>
          <w:rFonts w:ascii="Arial" w:hAnsi="Arial" w:cs="Arial"/>
          <w:lang w:val="en-MY"/>
        </w:rPr>
        <w:t>Non-Disclosure Agreement (NDA): A signed NDA must be submitted - either a newly signed NDA for new vendors or a signed copy of the existing NDA for current vendors. This must be returned along with the payment receipt.</w:t>
      </w:r>
    </w:p>
    <w:p w14:paraId="405BFFF7" w14:textId="77777777" w:rsidR="00295104" w:rsidRPr="00295104" w:rsidRDefault="00295104" w:rsidP="00295104">
      <w:p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</w:p>
    <w:p w14:paraId="23A79C9C" w14:textId="3E4B7F33" w:rsidR="00295104" w:rsidRPr="00295104" w:rsidRDefault="00295104" w:rsidP="00295104">
      <w:pPr>
        <w:pStyle w:val="ListParagraph"/>
        <w:numPr>
          <w:ilvl w:val="0"/>
          <w:numId w:val="26"/>
        </w:numPr>
        <w:spacing w:after="0" w:line="276" w:lineRule="auto"/>
        <w:ind w:right="-188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>Quotation</w:t>
      </w:r>
      <w:r w:rsidRPr="00295104">
        <w:rPr>
          <w:rFonts w:ascii="Arial" w:hAnsi="Arial" w:cs="Arial"/>
          <w:lang w:val="en-MY"/>
        </w:rPr>
        <w:t xml:space="preserve"> Documents: </w:t>
      </w:r>
      <w:r w:rsidR="007D4455">
        <w:rPr>
          <w:rFonts w:ascii="Arial" w:hAnsi="Arial" w:cs="Arial"/>
          <w:lang w:val="en-MY"/>
        </w:rPr>
        <w:t xml:space="preserve">The </w:t>
      </w:r>
      <w:r w:rsidR="007D4455">
        <w:rPr>
          <w:rFonts w:ascii="Arial" w:hAnsi="Arial" w:cs="Arial"/>
        </w:rPr>
        <w:t>c</w:t>
      </w:r>
      <w:r w:rsidR="007D4455" w:rsidRPr="007D4455">
        <w:rPr>
          <w:rFonts w:ascii="Arial" w:hAnsi="Arial" w:cs="Arial"/>
        </w:rPr>
        <w:t>opie of quotation documents can be obtained at the PDCTelco office</w:t>
      </w:r>
      <w:r w:rsidR="007D4455">
        <w:rPr>
          <w:rFonts w:ascii="Arial" w:hAnsi="Arial" w:cs="Arial"/>
        </w:rPr>
        <w:t xml:space="preserve"> once</w:t>
      </w:r>
      <w:r w:rsidRPr="00295104">
        <w:rPr>
          <w:rFonts w:ascii="Arial" w:hAnsi="Arial" w:cs="Arial"/>
          <w:lang w:val="en-MY"/>
        </w:rPr>
        <w:t xml:space="preserve"> we have received both the signed NDA and payment receipt.</w:t>
      </w:r>
    </w:p>
    <w:p w14:paraId="064435FC" w14:textId="77777777" w:rsidR="002C254D" w:rsidRDefault="002C254D" w:rsidP="002C254D">
      <w:pPr>
        <w:pBdr>
          <w:bottom w:val="single" w:sz="4" w:space="1" w:color="auto"/>
        </w:pBdr>
        <w:spacing w:after="0" w:line="360" w:lineRule="auto"/>
        <w:ind w:right="-188"/>
        <w:jc w:val="both"/>
        <w:rPr>
          <w:rFonts w:ascii="Arial" w:hAnsi="Arial" w:cs="Arial"/>
          <w:lang w:val="en-MY"/>
        </w:rPr>
      </w:pPr>
    </w:p>
    <w:p w14:paraId="7290943B" w14:textId="77777777" w:rsidR="002C254D" w:rsidRDefault="002C254D" w:rsidP="00DD18E8">
      <w:pPr>
        <w:spacing w:after="0" w:line="360" w:lineRule="auto"/>
        <w:ind w:right="-188"/>
        <w:jc w:val="both"/>
        <w:rPr>
          <w:rFonts w:ascii="Arial" w:hAnsi="Arial" w:cs="Arial"/>
          <w:lang w:val="en-MY"/>
        </w:rPr>
      </w:pPr>
    </w:p>
    <w:p w14:paraId="689FE63F" w14:textId="0AF70A96" w:rsidR="003774A1" w:rsidRPr="003774A1" w:rsidRDefault="003774A1" w:rsidP="003774A1">
      <w:pPr>
        <w:spacing w:after="0" w:line="240" w:lineRule="auto"/>
        <w:ind w:right="-188"/>
        <w:jc w:val="both"/>
        <w:rPr>
          <w:rFonts w:ascii="Arial" w:hAnsi="Arial" w:cs="Arial"/>
          <w:b/>
          <w:bCs/>
          <w:u w:val="single"/>
          <w:lang w:val="en-MY"/>
        </w:rPr>
      </w:pPr>
      <w:r w:rsidRPr="003774A1">
        <w:rPr>
          <w:rFonts w:ascii="Arial" w:hAnsi="Arial" w:cs="Arial"/>
          <w:b/>
          <w:bCs/>
          <w:u w:val="single"/>
          <w:lang w:val="en-MY"/>
        </w:rPr>
        <w:t>SUBMISSION INSTRUCTIONS</w:t>
      </w:r>
    </w:p>
    <w:p w14:paraId="29D2EA99" w14:textId="77777777" w:rsidR="003774A1" w:rsidRDefault="003774A1" w:rsidP="003774A1">
      <w:pPr>
        <w:spacing w:after="0" w:line="240" w:lineRule="auto"/>
        <w:ind w:right="-188"/>
        <w:jc w:val="both"/>
        <w:rPr>
          <w:rFonts w:ascii="Arial" w:hAnsi="Arial" w:cs="Arial"/>
          <w:lang w:val="en-MY"/>
        </w:rPr>
      </w:pPr>
    </w:p>
    <w:p w14:paraId="440E485C" w14:textId="7E900DB4" w:rsidR="003774A1" w:rsidRDefault="002E455B" w:rsidP="007D4455">
      <w:pPr>
        <w:spacing w:after="0" w:line="240" w:lineRule="auto"/>
        <w:jc w:val="both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>Quotation</w:t>
      </w:r>
      <w:r w:rsidR="003774A1" w:rsidRPr="00E4216E">
        <w:rPr>
          <w:rFonts w:ascii="Arial" w:hAnsi="Arial" w:cs="Arial"/>
          <w:lang w:val="en-MY"/>
        </w:rPr>
        <w:t xml:space="preserve"> documents, together with the signed NDA, that have been completed should be placed in a sealed envelope and labeled "</w:t>
      </w:r>
      <w:r w:rsidR="003774A1" w:rsidRPr="003774A1">
        <w:rPr>
          <w:rFonts w:ascii="Arial" w:hAnsi="Arial" w:cs="Arial"/>
          <w:b/>
          <w:bCs/>
          <w:lang w:val="en-MY"/>
        </w:rPr>
        <w:t>PDCTELCO/</w:t>
      </w:r>
      <w:r w:rsidR="007D4455">
        <w:rPr>
          <w:rFonts w:ascii="Arial" w:hAnsi="Arial" w:cs="Arial"/>
          <w:b/>
          <w:bCs/>
          <w:lang w:val="en-MY"/>
        </w:rPr>
        <w:t>Q</w:t>
      </w:r>
      <w:r w:rsidR="003774A1" w:rsidRPr="003774A1">
        <w:rPr>
          <w:rFonts w:ascii="Arial" w:hAnsi="Arial" w:cs="Arial"/>
          <w:b/>
          <w:bCs/>
          <w:lang w:val="en-MY"/>
        </w:rPr>
        <w:t>_ND/00</w:t>
      </w:r>
      <w:r w:rsidR="007D4455">
        <w:rPr>
          <w:rFonts w:ascii="Arial" w:hAnsi="Arial" w:cs="Arial"/>
          <w:b/>
          <w:bCs/>
          <w:lang w:val="en-MY"/>
        </w:rPr>
        <w:t>7</w:t>
      </w:r>
      <w:r w:rsidR="003774A1" w:rsidRPr="003774A1">
        <w:rPr>
          <w:rFonts w:ascii="Arial" w:hAnsi="Arial" w:cs="Arial"/>
          <w:b/>
          <w:bCs/>
          <w:lang w:val="en-MY"/>
        </w:rPr>
        <w:t>/2025:</w:t>
      </w:r>
      <w:r w:rsidR="003774A1">
        <w:rPr>
          <w:rFonts w:ascii="Arial" w:hAnsi="Arial" w:cs="Arial"/>
          <w:lang w:val="en-MY"/>
        </w:rPr>
        <w:t xml:space="preserve"> </w:t>
      </w:r>
      <w:r w:rsidR="007D4455" w:rsidRPr="00295104">
        <w:rPr>
          <w:rFonts w:ascii="Arial" w:hAnsi="Arial" w:cs="Arial"/>
          <w:b/>
          <w:lang w:val="en-MY"/>
        </w:rPr>
        <w:t>QUOTATION FOR SUPPLY, INSTALLATION, COMMISSIONING AND MAINTENANCE OF SYSTEM SERVER AT SUNTECH</w:t>
      </w:r>
      <w:r w:rsidR="007D4455" w:rsidRPr="00E4216E">
        <w:rPr>
          <w:rFonts w:ascii="Arial" w:hAnsi="Arial" w:cs="Arial"/>
          <w:lang w:val="en-MY"/>
        </w:rPr>
        <w:t xml:space="preserve"> </w:t>
      </w:r>
      <w:r w:rsidR="003774A1" w:rsidRPr="00E4216E">
        <w:rPr>
          <w:rFonts w:ascii="Arial" w:hAnsi="Arial" w:cs="Arial"/>
          <w:lang w:val="en-MY"/>
        </w:rPr>
        <w:t xml:space="preserve">" The documents must be submitted to the </w:t>
      </w:r>
      <w:r w:rsidR="002C254D">
        <w:rPr>
          <w:rFonts w:ascii="Arial" w:hAnsi="Arial" w:cs="Arial"/>
          <w:lang w:val="en-MY"/>
        </w:rPr>
        <w:t>below</w:t>
      </w:r>
      <w:r w:rsidR="003774A1" w:rsidRPr="00E4216E">
        <w:rPr>
          <w:rFonts w:ascii="Arial" w:hAnsi="Arial" w:cs="Arial"/>
          <w:lang w:val="en-MY"/>
        </w:rPr>
        <w:t xml:space="preserve">-mentioned office address on or before </w:t>
      </w:r>
      <w:r w:rsidR="003774A1" w:rsidRPr="00E4216E">
        <w:rPr>
          <w:rFonts w:ascii="Arial" w:hAnsi="Arial" w:cs="Arial"/>
          <w:b/>
          <w:bCs/>
          <w:lang w:val="en-MY"/>
        </w:rPr>
        <w:t>12:00 noon,</w:t>
      </w:r>
      <w:r w:rsidR="003774A1">
        <w:rPr>
          <w:rFonts w:ascii="Arial" w:hAnsi="Arial" w:cs="Arial"/>
          <w:b/>
          <w:bCs/>
          <w:lang w:val="en-MY"/>
        </w:rPr>
        <w:t xml:space="preserve"> </w:t>
      </w:r>
      <w:r>
        <w:rPr>
          <w:rFonts w:ascii="Arial" w:hAnsi="Arial" w:cs="Arial"/>
          <w:b/>
          <w:bCs/>
          <w:lang w:val="en-MY"/>
        </w:rPr>
        <w:t>23</w:t>
      </w:r>
      <w:r>
        <w:rPr>
          <w:rFonts w:ascii="Arial" w:hAnsi="Arial" w:cs="Arial"/>
          <w:b/>
          <w:bCs/>
          <w:vertAlign w:val="superscript"/>
          <w:lang w:val="en-MY"/>
        </w:rPr>
        <w:t>rd</w:t>
      </w:r>
      <w:r w:rsidR="003774A1">
        <w:rPr>
          <w:rFonts w:ascii="Arial" w:hAnsi="Arial" w:cs="Arial"/>
          <w:b/>
          <w:bCs/>
          <w:lang w:val="en-MY"/>
        </w:rPr>
        <w:t xml:space="preserve"> </w:t>
      </w:r>
      <w:r>
        <w:rPr>
          <w:rFonts w:ascii="Arial" w:hAnsi="Arial" w:cs="Arial"/>
          <w:b/>
          <w:bCs/>
          <w:lang w:val="en-MY"/>
        </w:rPr>
        <w:t>June</w:t>
      </w:r>
      <w:r w:rsidR="003774A1" w:rsidRPr="00E4216E">
        <w:rPr>
          <w:rFonts w:ascii="Arial" w:hAnsi="Arial" w:cs="Arial"/>
          <w:b/>
          <w:bCs/>
          <w:lang w:val="en-MY"/>
        </w:rPr>
        <w:t xml:space="preserve"> 202</w:t>
      </w:r>
      <w:r w:rsidR="00414202">
        <w:rPr>
          <w:rFonts w:ascii="Arial" w:hAnsi="Arial" w:cs="Arial"/>
          <w:b/>
          <w:bCs/>
          <w:lang w:val="en-MY"/>
        </w:rPr>
        <w:t>5</w:t>
      </w:r>
      <w:r w:rsidR="002C254D">
        <w:rPr>
          <w:rFonts w:ascii="Arial" w:hAnsi="Arial" w:cs="Arial"/>
          <w:b/>
          <w:bCs/>
          <w:lang w:val="en-MY"/>
        </w:rPr>
        <w:t>.</w:t>
      </w:r>
    </w:p>
    <w:p w14:paraId="681C52C3" w14:textId="77777777" w:rsidR="003774A1" w:rsidRDefault="003774A1" w:rsidP="00DD18E8">
      <w:pPr>
        <w:spacing w:after="0" w:line="360" w:lineRule="auto"/>
        <w:ind w:right="-188"/>
        <w:jc w:val="both"/>
        <w:rPr>
          <w:rFonts w:ascii="Arial" w:hAnsi="Arial" w:cs="Arial"/>
          <w:lang w:val="en-MY"/>
        </w:rPr>
      </w:pPr>
    </w:p>
    <w:p w14:paraId="0E02EEA2" w14:textId="02B30BA8" w:rsidR="000E0E1A" w:rsidRPr="00E4216E" w:rsidRDefault="000E0E1A" w:rsidP="00DD18E8">
      <w:pPr>
        <w:spacing w:after="0" w:line="360" w:lineRule="auto"/>
        <w:ind w:right="-188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D5820A0" wp14:editId="28E86ECC">
            <wp:simplePos x="0" y="0"/>
            <wp:positionH relativeFrom="column">
              <wp:posOffset>996288</wp:posOffset>
            </wp:positionH>
            <wp:positionV relativeFrom="paragraph">
              <wp:posOffset>246778</wp:posOffset>
            </wp:positionV>
            <wp:extent cx="997600" cy="10918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75" cy="10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97B0B" w14:textId="77777777" w:rsidR="000E0E1A" w:rsidRPr="00E4216E" w:rsidRDefault="000E0E1A" w:rsidP="00DD18E8">
      <w:pPr>
        <w:spacing w:after="0" w:line="240" w:lineRule="auto"/>
        <w:jc w:val="both"/>
        <w:rPr>
          <w:rFonts w:ascii="Arial" w:hAnsi="Arial" w:cs="Arial"/>
          <w:bCs/>
          <w:lang w:val="en-MY"/>
        </w:rPr>
      </w:pPr>
      <w:r w:rsidRPr="00E4216E">
        <w:rPr>
          <w:rFonts w:ascii="Arial" w:hAnsi="Arial" w:cs="Arial"/>
          <w:lang w:val="en-MY"/>
        </w:rPr>
        <w:t>Venue           :</w:t>
      </w:r>
      <w:r w:rsidRPr="00E4216E">
        <w:rPr>
          <w:rFonts w:ascii="Arial" w:hAnsi="Arial" w:cs="Arial"/>
          <w:lang w:val="en-MY"/>
        </w:rPr>
        <w:tab/>
      </w:r>
      <w:r w:rsidRPr="00E4216E">
        <w:rPr>
          <w:rFonts w:ascii="Arial" w:hAnsi="Arial" w:cs="Arial"/>
          <w:lang w:val="en-MY"/>
        </w:rPr>
        <w:tab/>
      </w:r>
      <w:r w:rsidRPr="00E4216E">
        <w:rPr>
          <w:rFonts w:ascii="Arial" w:hAnsi="Arial" w:cs="Arial"/>
          <w:lang w:val="en-MY"/>
        </w:rPr>
        <w:tab/>
      </w:r>
      <w:r w:rsidRPr="00E4216E">
        <w:rPr>
          <w:rFonts w:ascii="Arial" w:hAnsi="Arial" w:cs="Arial"/>
          <w:lang w:val="en-MY"/>
        </w:rPr>
        <w:tab/>
      </w:r>
      <w:r w:rsidRPr="00E4216E">
        <w:rPr>
          <w:rFonts w:ascii="Arial" w:hAnsi="Arial" w:cs="Arial"/>
          <w:bCs/>
          <w:lang w:val="en-MY"/>
        </w:rPr>
        <w:t>PDC Telecommunication Services Sdn. Bhd.</w:t>
      </w:r>
    </w:p>
    <w:p w14:paraId="324225B2" w14:textId="77777777" w:rsidR="000E0E1A" w:rsidRPr="00E4216E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1-12A-12A, SUNTECH@Penang Cybercity,</w:t>
      </w:r>
    </w:p>
    <w:p w14:paraId="2EACE931" w14:textId="77777777" w:rsidR="000E0E1A" w:rsidRPr="00BE4BF7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sv-SE"/>
        </w:rPr>
      </w:pPr>
      <w:r w:rsidRPr="00BE4BF7">
        <w:rPr>
          <w:rFonts w:ascii="Arial" w:hAnsi="Arial" w:cs="Arial"/>
          <w:lang w:val="sv-SE"/>
        </w:rPr>
        <w:t>Lintang Mayang Pasir 3,</w:t>
      </w:r>
    </w:p>
    <w:p w14:paraId="3A7ADA3D" w14:textId="77777777" w:rsidR="000E0E1A" w:rsidRPr="00BE4BF7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sv-SE"/>
        </w:rPr>
      </w:pPr>
      <w:r w:rsidRPr="00BE4BF7">
        <w:rPr>
          <w:rFonts w:ascii="Arial" w:hAnsi="Arial" w:cs="Arial"/>
          <w:lang w:val="sv-SE"/>
        </w:rPr>
        <w:t>Bandar Bayan Baru</w:t>
      </w:r>
    </w:p>
    <w:p w14:paraId="16131D0C" w14:textId="77777777" w:rsidR="000E0E1A" w:rsidRPr="00E4216E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11950 Bayan Lepas, Pulau Pinang</w:t>
      </w:r>
    </w:p>
    <w:p w14:paraId="764E0263" w14:textId="77777777" w:rsidR="000E0E1A" w:rsidRPr="00E4216E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Tel No       : 04-640 6644</w:t>
      </w:r>
    </w:p>
    <w:p w14:paraId="29BE968A" w14:textId="77777777" w:rsidR="000E0E1A" w:rsidRPr="00E4216E" w:rsidRDefault="000E0E1A" w:rsidP="00DD18E8">
      <w:pPr>
        <w:spacing w:after="0" w:line="240" w:lineRule="auto"/>
        <w:ind w:left="2880" w:firstLine="720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Fax No      : 04-640 6640</w:t>
      </w:r>
    </w:p>
    <w:p w14:paraId="0FA1E84E" w14:textId="77777777" w:rsidR="000E0E1A" w:rsidRPr="00E4216E" w:rsidRDefault="000E0E1A" w:rsidP="00DD18E8">
      <w:pPr>
        <w:tabs>
          <w:tab w:val="left" w:pos="3331"/>
        </w:tabs>
        <w:spacing w:after="0" w:line="240" w:lineRule="auto"/>
        <w:ind w:right="-188"/>
        <w:jc w:val="both"/>
        <w:rPr>
          <w:rFonts w:ascii="Arial" w:hAnsi="Arial" w:cs="Arial"/>
          <w:lang w:val="en-MY"/>
        </w:rPr>
      </w:pPr>
    </w:p>
    <w:p w14:paraId="5159A657" w14:textId="77777777" w:rsidR="000E0E1A" w:rsidRPr="00E4216E" w:rsidRDefault="000E0E1A" w:rsidP="00DD18E8">
      <w:pPr>
        <w:spacing w:after="0" w:line="240" w:lineRule="auto"/>
        <w:ind w:right="-188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ab/>
      </w:r>
    </w:p>
    <w:p w14:paraId="774F45AC" w14:textId="77777777" w:rsidR="000E0E1A" w:rsidRPr="00E4216E" w:rsidRDefault="000E0E1A" w:rsidP="00DD18E8">
      <w:pPr>
        <w:spacing w:after="0" w:line="240" w:lineRule="auto"/>
        <w:ind w:right="-188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Date/Time</w:t>
      </w:r>
      <w:r w:rsidRPr="00E4216E">
        <w:rPr>
          <w:rFonts w:ascii="Arial" w:hAnsi="Arial" w:cs="Arial"/>
          <w:lang w:val="en-MY"/>
        </w:rPr>
        <w:tab/>
        <w:t>:</w:t>
      </w:r>
      <w:r w:rsidRPr="00E4216E">
        <w:rPr>
          <w:rFonts w:ascii="Arial" w:hAnsi="Arial" w:cs="Arial"/>
          <w:lang w:val="en-MY"/>
        </w:rPr>
        <w:tab/>
        <w:t>Monday – Friday</w:t>
      </w:r>
      <w:r w:rsidRPr="00E4216E">
        <w:rPr>
          <w:rFonts w:ascii="Arial" w:hAnsi="Arial" w:cs="Arial"/>
          <w:lang w:val="en-MY"/>
        </w:rPr>
        <w:tab/>
        <w:t>(9.00am-05.00pm)</w:t>
      </w:r>
    </w:p>
    <w:p w14:paraId="3730D12B" w14:textId="77777777" w:rsidR="000E0E1A" w:rsidRPr="00E4216E" w:rsidRDefault="000E0E1A" w:rsidP="00DD18E8">
      <w:pPr>
        <w:spacing w:after="0" w:line="240" w:lineRule="auto"/>
        <w:ind w:left="1298" w:right="-188" w:firstLine="862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 xml:space="preserve">Lunch Time </w:t>
      </w:r>
      <w:r w:rsidRPr="00E4216E">
        <w:rPr>
          <w:rFonts w:ascii="Arial" w:hAnsi="Arial" w:cs="Arial"/>
          <w:lang w:val="en-MY"/>
        </w:rPr>
        <w:tab/>
      </w:r>
      <w:r w:rsidRPr="00E4216E">
        <w:rPr>
          <w:rFonts w:ascii="Arial" w:hAnsi="Arial" w:cs="Arial"/>
          <w:lang w:val="en-MY"/>
        </w:rPr>
        <w:tab/>
        <w:t>(Monday – Thursday: 1.00pm-2.00pm)</w:t>
      </w:r>
    </w:p>
    <w:p w14:paraId="66D537DC" w14:textId="77777777" w:rsidR="000E0E1A" w:rsidRPr="00E4216E" w:rsidRDefault="000E0E1A" w:rsidP="00DD18E8">
      <w:pPr>
        <w:spacing w:after="0" w:line="240" w:lineRule="auto"/>
        <w:ind w:left="3458" w:right="-188" w:firstLine="862"/>
        <w:jc w:val="both"/>
        <w:rPr>
          <w:rFonts w:ascii="Arial" w:hAnsi="Arial" w:cs="Arial"/>
          <w:lang w:val="en-MY"/>
        </w:rPr>
      </w:pPr>
      <w:r w:rsidRPr="00E4216E">
        <w:rPr>
          <w:rFonts w:ascii="Arial" w:hAnsi="Arial" w:cs="Arial"/>
          <w:lang w:val="en-MY"/>
        </w:rPr>
        <w:t>(Friday: 12.15pm-2.45pm)</w:t>
      </w:r>
    </w:p>
    <w:p w14:paraId="1CCCD993" w14:textId="77777777" w:rsidR="000E0E1A" w:rsidRPr="00E4216E" w:rsidRDefault="000E0E1A" w:rsidP="00DD18E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4F516299" w14:textId="77777777" w:rsidR="00433803" w:rsidRPr="00E4216E" w:rsidRDefault="00433803" w:rsidP="00DD18E8">
      <w:pPr>
        <w:spacing w:after="0" w:line="240" w:lineRule="auto"/>
        <w:jc w:val="both"/>
        <w:rPr>
          <w:rFonts w:ascii="Arial" w:hAnsi="Arial" w:cs="Arial"/>
          <w:lang w:val="en-MY"/>
        </w:rPr>
      </w:pPr>
    </w:p>
    <w:p w14:paraId="792D6A88" w14:textId="5B6BC485" w:rsidR="000050AD" w:rsidRDefault="23FDFFC0" w:rsidP="23FDFFC0">
      <w:pPr>
        <w:spacing w:after="0" w:line="240" w:lineRule="auto"/>
        <w:jc w:val="both"/>
        <w:rPr>
          <w:rFonts w:ascii="Arial" w:hAnsi="Arial" w:cs="Arial"/>
          <w:b/>
          <w:bCs/>
          <w:lang w:val="en-MY"/>
        </w:rPr>
      </w:pPr>
      <w:r w:rsidRPr="00E4216E">
        <w:rPr>
          <w:rFonts w:ascii="Arial" w:hAnsi="Arial" w:cs="Arial"/>
          <w:b/>
          <w:bCs/>
          <w:lang w:val="en-MY"/>
        </w:rPr>
        <w:t xml:space="preserve">"Any offer of corruption or other incentives that may influence the position of the </w:t>
      </w:r>
      <w:r w:rsidR="002E455B">
        <w:rPr>
          <w:rFonts w:ascii="Arial" w:hAnsi="Arial" w:cs="Arial"/>
          <w:b/>
          <w:bCs/>
          <w:lang w:val="en-MY"/>
        </w:rPr>
        <w:t xml:space="preserve">Quotation </w:t>
      </w:r>
      <w:r w:rsidRPr="00E4216E">
        <w:rPr>
          <w:rFonts w:ascii="Arial" w:hAnsi="Arial" w:cs="Arial"/>
          <w:b/>
          <w:bCs/>
          <w:lang w:val="en-MY"/>
        </w:rPr>
        <w:t xml:space="preserve">will result in the </w:t>
      </w:r>
      <w:r w:rsidR="002E455B">
        <w:rPr>
          <w:rFonts w:ascii="Arial" w:hAnsi="Arial" w:cs="Arial"/>
          <w:b/>
          <w:bCs/>
          <w:lang w:val="en-MY"/>
        </w:rPr>
        <w:t>quotation</w:t>
      </w:r>
      <w:r w:rsidRPr="00E4216E">
        <w:rPr>
          <w:rFonts w:ascii="Arial" w:hAnsi="Arial" w:cs="Arial"/>
          <w:b/>
          <w:bCs/>
          <w:lang w:val="en-MY"/>
        </w:rPr>
        <w:t xml:space="preserve"> being rejected immediately".</w:t>
      </w:r>
    </w:p>
    <w:p w14:paraId="216C6AE7" w14:textId="77777777" w:rsidR="002E455B" w:rsidRDefault="002E455B" w:rsidP="23FDFFC0">
      <w:pPr>
        <w:spacing w:after="0" w:line="240" w:lineRule="auto"/>
        <w:jc w:val="both"/>
        <w:rPr>
          <w:rFonts w:ascii="Arial" w:hAnsi="Arial" w:cs="Arial"/>
          <w:b/>
          <w:bCs/>
          <w:lang w:val="en-MY"/>
        </w:rPr>
      </w:pPr>
    </w:p>
    <w:p w14:paraId="64D26064" w14:textId="6A39FC67" w:rsidR="002E455B" w:rsidRPr="00E4216E" w:rsidRDefault="002E455B" w:rsidP="23FDFFC0">
      <w:pPr>
        <w:spacing w:after="0" w:line="240" w:lineRule="auto"/>
        <w:jc w:val="both"/>
        <w:rPr>
          <w:rFonts w:ascii="Arial" w:hAnsi="Arial" w:cs="Arial"/>
          <w:b/>
          <w:bCs/>
          <w:lang w:val="en-MY"/>
        </w:rPr>
      </w:pPr>
      <w:r w:rsidRPr="002E455B">
        <w:rPr>
          <w:rFonts w:ascii="Arial" w:hAnsi="Arial" w:cs="Arial"/>
          <w:b/>
          <w:bCs/>
        </w:rPr>
        <w:t xml:space="preserve">All </w:t>
      </w:r>
      <w:r>
        <w:rPr>
          <w:rFonts w:ascii="Arial" w:hAnsi="Arial" w:cs="Arial"/>
          <w:b/>
          <w:bCs/>
        </w:rPr>
        <w:t>company</w:t>
      </w:r>
      <w:r w:rsidRPr="002E455B">
        <w:rPr>
          <w:rFonts w:ascii="Arial" w:hAnsi="Arial" w:cs="Arial"/>
          <w:b/>
          <w:bCs/>
        </w:rPr>
        <w:t xml:space="preserve"> need to fill in and return the </w:t>
      </w:r>
      <w:r w:rsidRPr="002E455B">
        <w:rPr>
          <w:rFonts w:ascii="Arial" w:hAnsi="Arial" w:cs="Arial"/>
          <w:b/>
          <w:bCs/>
          <w:u w:val="single"/>
        </w:rPr>
        <w:t>'Quotationer's Declaration Letter'</w:t>
      </w:r>
      <w:r w:rsidRPr="002E455B">
        <w:rPr>
          <w:rFonts w:ascii="Arial" w:hAnsi="Arial" w:cs="Arial"/>
          <w:b/>
          <w:bCs/>
        </w:rPr>
        <w:t xml:space="preserve"> as in the Quotation Document Attachment</w:t>
      </w:r>
    </w:p>
    <w:sectPr w:rsidR="002E455B" w:rsidRPr="00E4216E" w:rsidSect="003774A1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0020" w14:textId="77777777" w:rsidR="003774A1" w:rsidRDefault="003774A1" w:rsidP="003774A1">
      <w:pPr>
        <w:spacing w:after="0" w:line="240" w:lineRule="auto"/>
      </w:pPr>
      <w:r>
        <w:separator/>
      </w:r>
    </w:p>
  </w:endnote>
  <w:endnote w:type="continuationSeparator" w:id="0">
    <w:p w14:paraId="231CE02E" w14:textId="77777777" w:rsidR="003774A1" w:rsidRDefault="003774A1" w:rsidP="0037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2130158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3FF7" w14:textId="4C74F22B" w:rsidR="003774A1" w:rsidRDefault="003774A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 w:rsidR="002C254D">
          <w:t>/</w:t>
        </w:r>
        <w:r w:rsidR="002E455B">
          <w:t>2</w:t>
        </w:r>
      </w:p>
    </w:sdtContent>
  </w:sdt>
  <w:p w14:paraId="0DEAF5AA" w14:textId="77777777" w:rsidR="003774A1" w:rsidRDefault="00377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501735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79137" w14:textId="11164F9E" w:rsidR="003774A1" w:rsidRDefault="003774A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 w:rsidR="00B61FF9">
          <w:t>/</w:t>
        </w:r>
        <w:r w:rsidR="002E455B">
          <w:t>2</w:t>
        </w:r>
      </w:p>
    </w:sdtContent>
  </w:sdt>
  <w:p w14:paraId="5A416332" w14:textId="77777777" w:rsidR="003774A1" w:rsidRDefault="00377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1088" w14:textId="77777777" w:rsidR="003774A1" w:rsidRDefault="003774A1" w:rsidP="003774A1">
      <w:pPr>
        <w:spacing w:after="0" w:line="240" w:lineRule="auto"/>
      </w:pPr>
      <w:r>
        <w:separator/>
      </w:r>
    </w:p>
  </w:footnote>
  <w:footnote w:type="continuationSeparator" w:id="0">
    <w:p w14:paraId="601A1467" w14:textId="77777777" w:rsidR="003774A1" w:rsidRDefault="003774A1" w:rsidP="0037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933B" w14:textId="219658FD" w:rsidR="00295104" w:rsidRPr="00E4216E" w:rsidRDefault="00295104" w:rsidP="00295104">
    <w:pPr>
      <w:spacing w:after="0" w:line="240" w:lineRule="auto"/>
      <w:jc w:val="center"/>
      <w:rPr>
        <w:rFonts w:ascii="Arial" w:hAnsi="Arial" w:cs="Arial"/>
        <w:b/>
        <w:lang w:val="en-MY"/>
      </w:rPr>
    </w:pPr>
    <w:r w:rsidRPr="00E4216E">
      <w:rPr>
        <w:rFonts w:ascii="Arial" w:hAnsi="Arial" w:cs="Arial"/>
        <w:b/>
        <w:lang w:val="en-MY"/>
      </w:rPr>
      <w:t xml:space="preserve"> NO.: PDCTELCO/</w:t>
    </w:r>
    <w:r>
      <w:rPr>
        <w:rFonts w:ascii="Arial" w:hAnsi="Arial" w:cs="Arial"/>
        <w:b/>
        <w:lang w:val="en-MY"/>
      </w:rPr>
      <w:t>Q</w:t>
    </w:r>
    <w:r w:rsidRPr="00E4216E">
      <w:rPr>
        <w:rFonts w:ascii="Arial" w:hAnsi="Arial" w:cs="Arial"/>
        <w:b/>
        <w:lang w:val="en-MY"/>
      </w:rPr>
      <w:t>_ND/00</w:t>
    </w:r>
    <w:r>
      <w:rPr>
        <w:rFonts w:ascii="Arial" w:hAnsi="Arial" w:cs="Arial"/>
        <w:b/>
        <w:lang w:val="en-MY"/>
      </w:rPr>
      <w:t>7</w:t>
    </w:r>
    <w:r w:rsidRPr="00E4216E">
      <w:rPr>
        <w:rFonts w:ascii="Arial" w:hAnsi="Arial" w:cs="Arial"/>
        <w:b/>
        <w:lang w:val="en-MY"/>
      </w:rPr>
      <w:t>/202</w:t>
    </w:r>
    <w:r>
      <w:rPr>
        <w:rFonts w:ascii="Arial" w:hAnsi="Arial" w:cs="Arial"/>
        <w:b/>
        <w:lang w:val="en-MY"/>
      </w:rPr>
      <w:t>5</w:t>
    </w:r>
  </w:p>
  <w:p w14:paraId="38AA2DDA" w14:textId="77777777" w:rsidR="00295104" w:rsidRPr="00E4216E" w:rsidRDefault="00295104" w:rsidP="00295104">
    <w:pPr>
      <w:spacing w:after="0" w:line="240" w:lineRule="auto"/>
      <w:jc w:val="center"/>
      <w:rPr>
        <w:rFonts w:ascii="Arial" w:hAnsi="Arial" w:cs="Arial"/>
        <w:b/>
        <w:lang w:val="en-MY"/>
      </w:rPr>
    </w:pPr>
  </w:p>
  <w:p w14:paraId="5810EF4D" w14:textId="73ADE1EE" w:rsidR="003774A1" w:rsidRDefault="00295104" w:rsidP="002E455B">
    <w:pPr>
      <w:pStyle w:val="Header"/>
      <w:jc w:val="center"/>
      <w:rPr>
        <w:rFonts w:ascii="Arial" w:hAnsi="Arial" w:cs="Arial"/>
        <w:b/>
        <w:lang w:val="en-MY"/>
      </w:rPr>
    </w:pPr>
    <w:r w:rsidRPr="00295104">
      <w:rPr>
        <w:rFonts w:ascii="Arial" w:hAnsi="Arial" w:cs="Arial"/>
        <w:b/>
        <w:lang w:val="en-MY"/>
      </w:rPr>
      <w:t>QUOTATION FOR SUPPLY, INSTALLATION, COMMISSIONING AND MAINTENANCE OF SYSTEM SERVER AT SUNTECH</w:t>
    </w:r>
  </w:p>
  <w:p w14:paraId="6CDF5750" w14:textId="77777777" w:rsidR="003774A1" w:rsidRDefault="003774A1" w:rsidP="003774A1">
    <w:pPr>
      <w:pStyle w:val="Header"/>
      <w:pBdr>
        <w:bottom w:val="single" w:sz="4" w:space="1" w:color="auto"/>
      </w:pBdr>
      <w:rPr>
        <w:rFonts w:ascii="Arial" w:hAnsi="Arial" w:cs="Arial"/>
        <w:b/>
        <w:lang w:val="en-MY"/>
      </w:rPr>
    </w:pPr>
  </w:p>
  <w:p w14:paraId="70E79385" w14:textId="77777777" w:rsidR="003774A1" w:rsidRDefault="003774A1" w:rsidP="00377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5B6"/>
    <w:multiLevelType w:val="hybridMultilevel"/>
    <w:tmpl w:val="A12CBD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1CF"/>
    <w:multiLevelType w:val="hybridMultilevel"/>
    <w:tmpl w:val="57441E30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B4CE0"/>
    <w:multiLevelType w:val="hybridMultilevel"/>
    <w:tmpl w:val="DD049C2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85D14"/>
    <w:multiLevelType w:val="hybridMultilevel"/>
    <w:tmpl w:val="75BE80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646B"/>
    <w:multiLevelType w:val="hybridMultilevel"/>
    <w:tmpl w:val="C55CD7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4015"/>
    <w:multiLevelType w:val="hybridMultilevel"/>
    <w:tmpl w:val="7270B76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C2EF3"/>
    <w:multiLevelType w:val="hybridMultilevel"/>
    <w:tmpl w:val="89340A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2036"/>
    <w:multiLevelType w:val="hybridMultilevel"/>
    <w:tmpl w:val="C6D8EA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0910"/>
    <w:multiLevelType w:val="hybridMultilevel"/>
    <w:tmpl w:val="BBF8BE7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B0D82"/>
    <w:multiLevelType w:val="hybridMultilevel"/>
    <w:tmpl w:val="D8B0509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C1323"/>
    <w:multiLevelType w:val="hybridMultilevel"/>
    <w:tmpl w:val="B51459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76F7"/>
    <w:multiLevelType w:val="hybridMultilevel"/>
    <w:tmpl w:val="63F060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4643F"/>
    <w:multiLevelType w:val="hybridMultilevel"/>
    <w:tmpl w:val="6BE826E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14E30"/>
    <w:multiLevelType w:val="hybridMultilevel"/>
    <w:tmpl w:val="5B04419A"/>
    <w:lvl w:ilvl="0" w:tplc="1CAEA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1098A"/>
    <w:multiLevelType w:val="hybridMultilevel"/>
    <w:tmpl w:val="45FC514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71C05"/>
    <w:multiLevelType w:val="hybridMultilevel"/>
    <w:tmpl w:val="261E9B3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6B0024"/>
    <w:multiLevelType w:val="hybridMultilevel"/>
    <w:tmpl w:val="09B242A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4F2987"/>
    <w:multiLevelType w:val="hybridMultilevel"/>
    <w:tmpl w:val="B45E02D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36FCB"/>
    <w:multiLevelType w:val="hybridMultilevel"/>
    <w:tmpl w:val="1FD0B270"/>
    <w:lvl w:ilvl="0" w:tplc="4409000F">
      <w:start w:val="1"/>
      <w:numFmt w:val="decimal"/>
      <w:lvlText w:val="%1."/>
      <w:lvlJc w:val="left"/>
      <w:pPr>
        <w:ind w:left="1500" w:hanging="360"/>
      </w:pPr>
    </w:lvl>
    <w:lvl w:ilvl="1" w:tplc="44090019" w:tentative="1">
      <w:start w:val="1"/>
      <w:numFmt w:val="lowerLetter"/>
      <w:lvlText w:val="%2."/>
      <w:lvlJc w:val="left"/>
      <w:pPr>
        <w:ind w:left="2220" w:hanging="360"/>
      </w:pPr>
    </w:lvl>
    <w:lvl w:ilvl="2" w:tplc="4409001B" w:tentative="1">
      <w:start w:val="1"/>
      <w:numFmt w:val="lowerRoman"/>
      <w:lvlText w:val="%3."/>
      <w:lvlJc w:val="right"/>
      <w:pPr>
        <w:ind w:left="2940" w:hanging="180"/>
      </w:pPr>
    </w:lvl>
    <w:lvl w:ilvl="3" w:tplc="4409000F" w:tentative="1">
      <w:start w:val="1"/>
      <w:numFmt w:val="decimal"/>
      <w:lvlText w:val="%4."/>
      <w:lvlJc w:val="left"/>
      <w:pPr>
        <w:ind w:left="3660" w:hanging="360"/>
      </w:pPr>
    </w:lvl>
    <w:lvl w:ilvl="4" w:tplc="44090019" w:tentative="1">
      <w:start w:val="1"/>
      <w:numFmt w:val="lowerLetter"/>
      <w:lvlText w:val="%5."/>
      <w:lvlJc w:val="left"/>
      <w:pPr>
        <w:ind w:left="4380" w:hanging="360"/>
      </w:pPr>
    </w:lvl>
    <w:lvl w:ilvl="5" w:tplc="4409001B" w:tentative="1">
      <w:start w:val="1"/>
      <w:numFmt w:val="lowerRoman"/>
      <w:lvlText w:val="%6."/>
      <w:lvlJc w:val="right"/>
      <w:pPr>
        <w:ind w:left="5100" w:hanging="180"/>
      </w:pPr>
    </w:lvl>
    <w:lvl w:ilvl="6" w:tplc="4409000F" w:tentative="1">
      <w:start w:val="1"/>
      <w:numFmt w:val="decimal"/>
      <w:lvlText w:val="%7."/>
      <w:lvlJc w:val="left"/>
      <w:pPr>
        <w:ind w:left="5820" w:hanging="360"/>
      </w:pPr>
    </w:lvl>
    <w:lvl w:ilvl="7" w:tplc="44090019" w:tentative="1">
      <w:start w:val="1"/>
      <w:numFmt w:val="lowerLetter"/>
      <w:lvlText w:val="%8."/>
      <w:lvlJc w:val="left"/>
      <w:pPr>
        <w:ind w:left="6540" w:hanging="360"/>
      </w:pPr>
    </w:lvl>
    <w:lvl w:ilvl="8" w:tplc="4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72B34F6"/>
    <w:multiLevelType w:val="hybridMultilevel"/>
    <w:tmpl w:val="E4C27384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983F42"/>
    <w:multiLevelType w:val="hybridMultilevel"/>
    <w:tmpl w:val="0424340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A1B18"/>
    <w:multiLevelType w:val="hybridMultilevel"/>
    <w:tmpl w:val="0F80E3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45554"/>
    <w:multiLevelType w:val="hybridMultilevel"/>
    <w:tmpl w:val="5F20C75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C52870"/>
    <w:multiLevelType w:val="hybridMultilevel"/>
    <w:tmpl w:val="0BE6D45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982EDB"/>
    <w:multiLevelType w:val="hybridMultilevel"/>
    <w:tmpl w:val="3A1CCFE4"/>
    <w:lvl w:ilvl="0" w:tplc="BC36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611CA"/>
    <w:multiLevelType w:val="hybridMultilevel"/>
    <w:tmpl w:val="6EDE9D1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579435">
    <w:abstractNumId w:val="7"/>
  </w:num>
  <w:num w:numId="2" w16cid:durableId="1228490139">
    <w:abstractNumId w:val="0"/>
  </w:num>
  <w:num w:numId="3" w16cid:durableId="785387122">
    <w:abstractNumId w:val="19"/>
  </w:num>
  <w:num w:numId="4" w16cid:durableId="394670899">
    <w:abstractNumId w:val="18"/>
  </w:num>
  <w:num w:numId="5" w16cid:durableId="528615445">
    <w:abstractNumId w:val="13"/>
  </w:num>
  <w:num w:numId="6" w16cid:durableId="1202984777">
    <w:abstractNumId w:val="23"/>
  </w:num>
  <w:num w:numId="7" w16cid:durableId="565724640">
    <w:abstractNumId w:val="15"/>
  </w:num>
  <w:num w:numId="8" w16cid:durableId="1801024120">
    <w:abstractNumId w:val="8"/>
  </w:num>
  <w:num w:numId="9" w16cid:durableId="1195925402">
    <w:abstractNumId w:val="22"/>
  </w:num>
  <w:num w:numId="10" w16cid:durableId="461192145">
    <w:abstractNumId w:val="2"/>
  </w:num>
  <w:num w:numId="11" w16cid:durableId="1784570069">
    <w:abstractNumId w:val="1"/>
  </w:num>
  <w:num w:numId="12" w16cid:durableId="616107446">
    <w:abstractNumId w:val="5"/>
  </w:num>
  <w:num w:numId="13" w16cid:durableId="301811291">
    <w:abstractNumId w:val="16"/>
  </w:num>
  <w:num w:numId="14" w16cid:durableId="457576288">
    <w:abstractNumId w:val="25"/>
  </w:num>
  <w:num w:numId="15" w16cid:durableId="1143692975">
    <w:abstractNumId w:val="10"/>
  </w:num>
  <w:num w:numId="16" w16cid:durableId="374084684">
    <w:abstractNumId w:val="4"/>
  </w:num>
  <w:num w:numId="17" w16cid:durableId="403918327">
    <w:abstractNumId w:val="3"/>
  </w:num>
  <w:num w:numId="18" w16cid:durableId="639193455">
    <w:abstractNumId w:val="14"/>
  </w:num>
  <w:num w:numId="19" w16cid:durableId="538394966">
    <w:abstractNumId w:val="12"/>
  </w:num>
  <w:num w:numId="20" w16cid:durableId="1860123537">
    <w:abstractNumId w:val="17"/>
  </w:num>
  <w:num w:numId="21" w16cid:durableId="1122381958">
    <w:abstractNumId w:val="9"/>
  </w:num>
  <w:num w:numId="22" w16cid:durableId="1665622108">
    <w:abstractNumId w:val="20"/>
  </w:num>
  <w:num w:numId="23" w16cid:durableId="740298377">
    <w:abstractNumId w:val="24"/>
  </w:num>
  <w:num w:numId="24" w16cid:durableId="1298341502">
    <w:abstractNumId w:val="21"/>
  </w:num>
  <w:num w:numId="25" w16cid:durableId="115684663">
    <w:abstractNumId w:val="11"/>
  </w:num>
  <w:num w:numId="26" w16cid:durableId="1903249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yNzc0MzMxtjA2MDdV0lEKTi0uzszPAykwqgUAj+c3/SwAAAA="/>
  </w:docVars>
  <w:rsids>
    <w:rsidRoot w:val="000E0E1A"/>
    <w:rsid w:val="000050AD"/>
    <w:rsid w:val="000512F2"/>
    <w:rsid w:val="000E0E1A"/>
    <w:rsid w:val="001B1D71"/>
    <w:rsid w:val="001B4623"/>
    <w:rsid w:val="00234335"/>
    <w:rsid w:val="002710A4"/>
    <w:rsid w:val="00295104"/>
    <w:rsid w:val="00295692"/>
    <w:rsid w:val="002C254D"/>
    <w:rsid w:val="002E455B"/>
    <w:rsid w:val="003774A1"/>
    <w:rsid w:val="00414202"/>
    <w:rsid w:val="00433803"/>
    <w:rsid w:val="00440394"/>
    <w:rsid w:val="004457A6"/>
    <w:rsid w:val="00590013"/>
    <w:rsid w:val="005A4A41"/>
    <w:rsid w:val="005B64FE"/>
    <w:rsid w:val="005D23A1"/>
    <w:rsid w:val="005E0D43"/>
    <w:rsid w:val="005F5106"/>
    <w:rsid w:val="0066441D"/>
    <w:rsid w:val="006F6039"/>
    <w:rsid w:val="00737A44"/>
    <w:rsid w:val="007961F2"/>
    <w:rsid w:val="007D4455"/>
    <w:rsid w:val="00821563"/>
    <w:rsid w:val="009049B8"/>
    <w:rsid w:val="00966B79"/>
    <w:rsid w:val="00984C7D"/>
    <w:rsid w:val="009A1CB1"/>
    <w:rsid w:val="009C13DC"/>
    <w:rsid w:val="00A63230"/>
    <w:rsid w:val="00A76382"/>
    <w:rsid w:val="00A97BBA"/>
    <w:rsid w:val="00AB4300"/>
    <w:rsid w:val="00B21FF5"/>
    <w:rsid w:val="00B61FF9"/>
    <w:rsid w:val="00BC6DC4"/>
    <w:rsid w:val="00BE4BF7"/>
    <w:rsid w:val="00C07B91"/>
    <w:rsid w:val="00C44ED2"/>
    <w:rsid w:val="00DD18E8"/>
    <w:rsid w:val="00E4216E"/>
    <w:rsid w:val="00E915D6"/>
    <w:rsid w:val="00EB2138"/>
    <w:rsid w:val="00F331BE"/>
    <w:rsid w:val="23FDF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D970"/>
  <w15:docId w15:val="{0D0C2BB5-0598-4E19-B46C-4D9598BA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A1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37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A1"/>
    <w:rPr>
      <w:noProof/>
      <w:lang w:val="ms-MY"/>
    </w:rPr>
  </w:style>
  <w:style w:type="table" w:styleId="TableGrid">
    <w:name w:val="Table Grid"/>
    <w:basedOn w:val="TableNormal"/>
    <w:uiPriority w:val="39"/>
    <w:rsid w:val="0029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Sharmila</dc:creator>
  <cp:lastModifiedBy>Muhammad Firdaus</cp:lastModifiedBy>
  <cp:revision>3</cp:revision>
  <dcterms:created xsi:type="dcterms:W3CDTF">2025-06-16T07:03:00Z</dcterms:created>
  <dcterms:modified xsi:type="dcterms:W3CDTF">2025-06-16T07:08:00Z</dcterms:modified>
</cp:coreProperties>
</file>